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1AC" w:rsidRDefault="002C11AC" w:rsidP="002C11AC">
      <w:r>
        <w:t>Сердечно-сосудистые и онкологические заболевания являются двумя ведущими причинами смертности во всем мире. Несмотря на то, что эти заболевания протекают независимо, им свойственен ряд общих факторов риска. Несмотря на мил</w:t>
      </w:r>
      <w:r>
        <w:softHyphen/>
        <w:t>лионы пациентов, выживших после злокачественных опухолей, частота развития ишемической болезни у онкологических пациентов продолжает расти.</w:t>
      </w:r>
    </w:p>
    <w:p w:rsidR="002C11AC" w:rsidRDefault="002C11AC" w:rsidP="002C11AC">
      <w:r>
        <w:t>Для химиотерапии и лучевой терапии также характерны кардиотоксичность и ускорение развития атеросклероза. Вследствие этого, лечение острого коронарного синдрома (ОКС) у этой категории онкологических больных представляет собой достаточно трудную задачу, а установленных стратегий лечения ОКС у пациентов с онкологическими заболеваниями имеется весьма немного.</w:t>
      </w:r>
    </w:p>
    <w:p w:rsidR="002C11AC" w:rsidRDefault="002C11AC" w:rsidP="002C11AC">
      <w:r>
        <w:t>Тромбоцитопения у онкологических пациентов с ОКС усложняет обычную тактику при ОКС, включающую в себя инвазивное вмеша</w:t>
      </w:r>
      <w:bookmarkStart w:id="0" w:name="_GoBack"/>
      <w:bookmarkEnd w:id="0"/>
      <w:r>
        <w:t>тельство, двойную антитромбоцитарную терапию и установку стента. Было проведено недостаточно рандомизиро</w:t>
      </w:r>
      <w:r>
        <w:softHyphen/>
        <w:t>ванных исследований этой категории пациентов. Сложность ведения пациентов со злокачественными новообразования, у которых одновременно выявлен ОКС и тромбоцитопения, требует повышенного внимания к выбору клинической тактики. В данном обзоре освещены основные патофизиологические аспекты тромбоцитопении, ассоциированной с онкологиче</w:t>
      </w:r>
      <w:r>
        <w:softHyphen/>
        <w:t>скими заболеваниями, а также тактика ведения таких пациентов с ишемической болезнью сердца.</w:t>
      </w:r>
    </w:p>
    <w:p w:rsidR="002C11AC" w:rsidRDefault="002C11AC" w:rsidP="002C11AC">
      <w:r w:rsidRPr="002C11AC">
        <w:rPr>
          <w:rStyle w:val="1685pt"/>
          <w:i w:val="0"/>
          <w:iCs w:val="0"/>
        </w:rPr>
        <w:t>Ключевые слова:</w:t>
      </w:r>
      <w:r>
        <w:rPr>
          <w:rStyle w:val="1685pt"/>
        </w:rPr>
        <w:t xml:space="preserve"> </w:t>
      </w:r>
      <w:r>
        <w:t>острый коронарный синдром, онкологические заболевания, тромбоцитопения, химиотерапия.</w:t>
      </w:r>
    </w:p>
    <w:p w:rsidR="00822C1F" w:rsidRDefault="00822C1F" w:rsidP="002C11AC"/>
    <w:sectPr w:rsidR="0082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C"/>
    <w:rsid w:val="002C11AC"/>
    <w:rsid w:val="0082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80BFBA-0BC9-4E33-AFEC-1698E95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0"/>
    <w:rsid w:val="002C11AC"/>
    <w:rPr>
      <w:rFonts w:ascii="Segoe UI" w:eastAsia="Segoe UI" w:hAnsi="Segoe UI" w:cs="Segoe UI"/>
      <w:i/>
      <w:iCs/>
      <w:sz w:val="16"/>
      <w:szCs w:val="16"/>
      <w:shd w:val="clear" w:color="auto" w:fill="FFFFFF"/>
    </w:rPr>
  </w:style>
  <w:style w:type="character" w:customStyle="1" w:styleId="1685pt">
    <w:name w:val="Основной текст (16) + 8.5 pt;Полужирный;Не курсив"/>
    <w:basedOn w:val="16"/>
    <w:rsid w:val="002C11A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C11AC"/>
    <w:pPr>
      <w:widowControl w:val="0"/>
      <w:shd w:val="clear" w:color="auto" w:fill="FFFFFF"/>
      <w:spacing w:before="300" w:after="0" w:line="278" w:lineRule="exact"/>
      <w:jc w:val="both"/>
    </w:pPr>
    <w:rPr>
      <w:rFonts w:ascii="Segoe UI" w:eastAsia="Segoe UI" w:hAnsi="Segoe UI" w:cs="Segoe UI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2020-02-15T14:32:00Z</dcterms:created>
  <dcterms:modified xsi:type="dcterms:W3CDTF">2020-02-15T14:34:00Z</dcterms:modified>
</cp:coreProperties>
</file>